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0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vertAlign w:val="baselin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MODELO DE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DECLARAÇÃO DOS ARTS. 26 E 27 DO DECRETO MUNICIPAL Nº 111, DE 2017, E DO ART. 39 DA LEI Nº 13.019, DE 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Processo Administrativo nº _____/_____.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Chamamento Público nº ______/_____.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(nome de quem declara)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na condição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(representante legal ou procurador)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DECLARO para os devidos fins, em nome da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(identificação da organização da sociedade civil – OSC)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nos termos dos arts. 26, caput, inciso VIII do Decreto Municipal nº 111, de 2017, e art. 39, incisos III ao VII, da Lei nº 13.019, de 2014, que os seus dirigentes abaixo relacionados, a saber:</w:t>
      </w:r>
    </w:p>
    <w:tbl>
      <w:tblPr>
        <w:tblStyle w:val="Table1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0"/>
        <w:gridCol w:w="3071"/>
        <w:gridCol w:w="3071"/>
        <w:tblGridChange w:id="0">
          <w:tblGrid>
            <w:gridCol w:w="3070"/>
            <w:gridCol w:w="3071"/>
            <w:gridCol w:w="3071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RELAÇÃO NOMINAL ATUALIZADA DOS DIRIGENTES DA ENTIDADE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do dirigente e cargo que ocupa na OSC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Carteira de identidade, órgão e expedidor e CPF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Endereço residencial, telefone e e-mail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8363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 – não são membros de Poder ou do Ministério Público ou dirigente de órgão ou entidade da Administração Pública Municipal;</w:t>
      </w:r>
    </w:p>
    <w:p w:rsidR="00000000" w:rsidDel="00000000" w:rsidP="00000000" w:rsidRDefault="00000000" w:rsidRPr="00000000" w14:paraId="00000030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II – não são cônjuges ou companheiros, bem como parentes em linha reta, colateral ou por afinidade, até o segundo grau, de quaisquer membros de Poder ou do Ministério Público ou de dirigente de órgão ou entidade da Administração Pública Municipal;</w:t>
      </w:r>
    </w:p>
    <w:p w:rsidR="00000000" w:rsidDel="00000000" w:rsidP="00000000" w:rsidRDefault="00000000" w:rsidRPr="00000000" w14:paraId="00000032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III – não tiveram as contas rejeitadas pela Administração Pública nos últimos cinco anos;</w:t>
      </w:r>
    </w:p>
    <w:p w:rsidR="00000000" w:rsidDel="00000000" w:rsidP="00000000" w:rsidRDefault="00000000" w:rsidRPr="00000000" w14:paraId="00000034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</w:t>
      </w:r>
    </w:p>
    <w:p w:rsidR="00000000" w:rsidDel="00000000" w:rsidP="00000000" w:rsidRDefault="00000000" w:rsidRPr="00000000" w14:paraId="00000035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III – tiveram as contas rejeitadas pela Administração Pública nos últimos cinco anos, mas demonstraram, nos termos do art. 39, IV, alíneas “a”, “b” e “c”, da Lei nº 13.019, de 2014, que:</w:t>
      </w:r>
    </w:p>
    <w:p w:rsidR="00000000" w:rsidDel="00000000" w:rsidP="00000000" w:rsidRDefault="00000000" w:rsidRPr="00000000" w14:paraId="00000036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III.1 – a irregularidade que motivou a rejeição das contas foi sanada e que os débitos eventualmente imputados foram quitados;</w:t>
      </w:r>
    </w:p>
    <w:p w:rsidR="00000000" w:rsidDel="00000000" w:rsidP="00000000" w:rsidRDefault="00000000" w:rsidRPr="00000000" w14:paraId="00000037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III.2 – a decisão de rejeição das contas foi reconsiderada ou revista;</w:t>
      </w:r>
    </w:p>
    <w:p w:rsidR="00000000" w:rsidDel="00000000" w:rsidP="00000000" w:rsidRDefault="00000000" w:rsidRPr="00000000" w14:paraId="00000039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III.3 – a decisão sobre a apreciação das contas está pendente de decisão sobre recurso com efeito suspensivo;</w:t>
      </w:r>
    </w:p>
    <w:p w:rsidR="00000000" w:rsidDel="00000000" w:rsidP="00000000" w:rsidRDefault="00000000" w:rsidRPr="00000000" w14:paraId="0000003B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IV – não foram punidos com as seguintes sanções:</w:t>
      </w:r>
    </w:p>
    <w:p w:rsidR="00000000" w:rsidDel="00000000" w:rsidP="00000000" w:rsidRDefault="00000000" w:rsidRPr="00000000" w14:paraId="0000003D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IV.1 – suspensão de participação em licitação e impedimento de contratar com a administração;</w:t>
      </w:r>
    </w:p>
    <w:p w:rsidR="00000000" w:rsidDel="00000000" w:rsidP="00000000" w:rsidRDefault="00000000" w:rsidRPr="00000000" w14:paraId="0000003E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IV.2 – declaração de inidoneidade para licitar ou contratar com a administração pública;</w:t>
      </w:r>
    </w:p>
    <w:p w:rsidR="00000000" w:rsidDel="00000000" w:rsidP="00000000" w:rsidRDefault="00000000" w:rsidRPr="00000000" w14:paraId="00000040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IV.3 – a prevista no art. 73, inciso II, da Lei nº 13.019, de 2014;</w:t>
      </w:r>
    </w:p>
    <w:p w:rsidR="00000000" w:rsidDel="00000000" w:rsidP="00000000" w:rsidRDefault="00000000" w:rsidRPr="00000000" w14:paraId="00000042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IV.4 – a prevista no art. 73, inciso III, da Lei nº 13.019, de 2014;</w:t>
      </w:r>
    </w:p>
    <w:p w:rsidR="00000000" w:rsidDel="00000000" w:rsidP="00000000" w:rsidRDefault="00000000" w:rsidRPr="00000000" w14:paraId="00000044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</w:t>
      </w:r>
    </w:p>
    <w:p w:rsidR="00000000" w:rsidDel="00000000" w:rsidP="00000000" w:rsidRDefault="00000000" w:rsidRPr="00000000" w14:paraId="00000045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IV – foram punidos com as sanções previstas no art. 39, inciso V, alíneas “a”, “b”, “c” e “d”, da Lei nº 13.019, de 2014, mas o período que durou a penalidade já se exauriu;</w:t>
      </w:r>
    </w:p>
    <w:p w:rsidR="00000000" w:rsidDel="00000000" w:rsidP="00000000" w:rsidRDefault="00000000" w:rsidRPr="00000000" w14:paraId="00000046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 – não são pessoas que, durante os últimos 08 (oito) anos:</w:t>
      </w:r>
    </w:p>
    <w:p w:rsidR="00000000" w:rsidDel="00000000" w:rsidP="00000000" w:rsidRDefault="00000000" w:rsidRPr="00000000" w14:paraId="00000048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V.1 – tiveram suas contas relativas a parcerias julgadas irregulares ou rejeitadas por Tribunal ou Conselho de Contas de qualquer esfera da Federação, em decisão irrecorrível, nos últimos 08 (oito) anos;</w:t>
      </w:r>
    </w:p>
    <w:p w:rsidR="00000000" w:rsidDel="00000000" w:rsidP="00000000" w:rsidRDefault="00000000" w:rsidRPr="00000000" w14:paraId="00000049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V.2 – foram julgados responsáveis por falta grave e inabilitada para o exercício de cargo ou função de confiança, enquanto durar a inabilitação;</w:t>
      </w:r>
    </w:p>
    <w:p w:rsidR="00000000" w:rsidDel="00000000" w:rsidP="00000000" w:rsidRDefault="00000000" w:rsidRPr="00000000" w14:paraId="0000004B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V.3 – foram considerado responsáveis por ato de improbidade;</w:t>
      </w:r>
    </w:p>
    <w:p w:rsidR="00000000" w:rsidDel="00000000" w:rsidP="00000000" w:rsidRDefault="00000000" w:rsidRPr="00000000" w14:paraId="0000004D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</w:t>
      </w:r>
    </w:p>
    <w:p w:rsidR="00000000" w:rsidDel="00000000" w:rsidP="00000000" w:rsidRDefault="00000000" w:rsidRPr="00000000" w14:paraId="0000004E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V.3 – foram consideradas responsáveis por ato de improbidade, mas os respectivos efeitos, nos prazos previstos no art. 12, incisos I, II e III, da Lei nº 8.429, de 1992, já se exauriram.</w:t>
      </w:r>
    </w:p>
    <w:p w:rsidR="00000000" w:rsidDel="00000000" w:rsidP="00000000" w:rsidRDefault="00000000" w:rsidRPr="00000000" w14:paraId="0000004F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Os incisos III, IV e V.3 possuem duas opções cada sendo que a organização da sociedade civil deverá adotar uma das opções de cada inciso, conforme a sua situação. A presente observação deverá ser suprimida da versão final da 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8363"/>
        </w:tabs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8363"/>
        </w:tabs>
        <w:spacing w:line="360" w:lineRule="auto"/>
        <w:jc w:val="right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8363"/>
        </w:tabs>
        <w:spacing w:line="360" w:lineRule="auto"/>
        <w:jc w:val="right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Local-UF, _____ de _____________ de 20 ___.</w:t>
      </w:r>
    </w:p>
    <w:p w:rsidR="00000000" w:rsidDel="00000000" w:rsidP="00000000" w:rsidRDefault="00000000" w:rsidRPr="00000000" w14:paraId="00000055">
      <w:pPr>
        <w:tabs>
          <w:tab w:val="left" w:leader="none" w:pos="8363"/>
        </w:tabs>
        <w:spacing w:line="360" w:lineRule="auto"/>
        <w:jc w:val="center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8363"/>
        </w:tabs>
        <w:spacing w:line="360" w:lineRule="auto"/>
        <w:jc w:val="center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8363"/>
        </w:tabs>
        <w:spacing w:line="36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58">
      <w:pPr>
        <w:tabs>
          <w:tab w:val="left" w:leader="none" w:pos="8363"/>
        </w:tabs>
        <w:spacing w:line="360" w:lineRule="auto"/>
        <w:jc w:val="center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(Nome e Cargo do Representante Legal da OSC</w:t>
      </w:r>
    </w:p>
    <w:p w:rsidR="00000000" w:rsidDel="00000000" w:rsidP="00000000" w:rsidRDefault="00000000" w:rsidRPr="00000000" w14:paraId="00000059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jc w:val="center"/>
      <w:rPr>
        <w:rFonts w:ascii="Times New Roman" w:cs="Times New Roman" w:eastAsia="Times New Roman" w:hAnsi="Times New Roman"/>
        <w:color w:val="1f497d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6"/>
        <w:szCs w:val="16"/>
        <w:rtl w:val="0"/>
      </w:rPr>
      <w:t xml:space="preserve">AV. Erva Mate N.º 650 - Fone: (67) 3438-1202 e 3438-1192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-444499</wp:posOffset>
              </wp:positionV>
              <wp:extent cx="5962650" cy="19050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64675" y="378000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44546A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-444499</wp:posOffset>
              </wp:positionV>
              <wp:extent cx="5962650" cy="1905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6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4">
    <w:pPr>
      <w:jc w:val="center"/>
      <w:rPr>
        <w:rFonts w:ascii="Times New Roman" w:cs="Times New Roman" w:eastAsia="Times New Roman" w:hAnsi="Times New Roman"/>
        <w:color w:val="1f497d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6"/>
        <w:szCs w:val="16"/>
        <w:rtl w:val="0"/>
      </w:rPr>
      <w:t xml:space="preserve">CEP 79920-000 – Laguna Carapã - MS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jc w:val="center"/>
      <w:rPr>
        <w:rFonts w:ascii="Times New Roman" w:cs="Times New Roman" w:eastAsia="Times New Roman" w:hAnsi="Times New Roman"/>
        <w:color w:val="1f497d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8"/>
        <w:szCs w:val="18"/>
        <w:rtl w:val="0"/>
      </w:rPr>
      <w:t xml:space="preserve">Email</w:t>
    </w: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6"/>
        <w:szCs w:val="16"/>
        <w:rtl w:val="0"/>
      </w:rPr>
      <w:t xml:space="preserve">:gabinete@lagunacarapa.ms.gov.br – site: www.lagunacarapa.ms.gov.br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tabs>
        <w:tab w:val="left" w:leader="none" w:pos="975"/>
      </w:tabs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868680" cy="890905"/>
          <wp:effectExtent b="0" l="0" r="0" t="0"/>
          <wp:docPr id="10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8680" cy="8909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  <w:rtl w:val="0"/>
      </w:rPr>
      <w:t xml:space="preserve">ESTADO DE MATO GROSSO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Black" w:cs="Arial Black" w:eastAsia="Arial Black" w:hAnsi="Arial Black"/>
        <w:b w:val="0"/>
        <w:i w:val="0"/>
        <w:smallCaps w:val="0"/>
        <w:strike w:val="0"/>
        <w:color w:val="1f497d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0"/>
        <w:i w:val="0"/>
        <w:smallCaps w:val="0"/>
        <w:strike w:val="0"/>
        <w:color w:val="1f497d"/>
        <w:sz w:val="18"/>
        <w:szCs w:val="18"/>
        <w:u w:val="none"/>
        <w:shd w:fill="auto" w:val="clear"/>
        <w:vertAlign w:val="baseline"/>
        <w:rtl w:val="0"/>
      </w:rPr>
      <w:t xml:space="preserve">MUNICÍPIO DE LAGUNA CARAPÃ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  <w:rtl w:val="0"/>
      </w:rPr>
      <w:t xml:space="preserve">“Terra do Pé de Soja Solteiro”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63500</wp:posOffset>
              </wp:positionV>
              <wp:extent cx="0" cy="19050"/>
              <wp:effectExtent b="0" l="0" r="0" t="0"/>
              <wp:wrapNone/>
              <wp:docPr id="102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64675" y="378000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63500</wp:posOffset>
              </wp:positionV>
              <wp:extent cx="0" cy="19050"/>
              <wp:effectExtent b="0" l="0" r="0" t="0"/>
              <wp:wrapNone/>
              <wp:docPr id="10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4775200</wp:posOffset>
              </wp:positionH>
              <wp:positionV relativeFrom="paragraph">
                <wp:posOffset>723900</wp:posOffset>
              </wp:positionV>
              <wp:extent cx="809625" cy="238125"/>
              <wp:effectExtent b="0" l="0" r="0" t="0"/>
              <wp:wrapNone/>
              <wp:docPr id="102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45950" y="366570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4775200</wp:posOffset>
              </wp:positionH>
              <wp:positionV relativeFrom="paragraph">
                <wp:posOffset>723900</wp:posOffset>
              </wp:positionV>
              <wp:extent cx="809625" cy="238125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9625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und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before="20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und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Arial" w:cs="Times New Roman" w:hAnsi="Arial"/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5Char">
    <w:name w:val="Título 5 Char"/>
    <w:next w:val="Título5Char"/>
    <w:autoRedefine w:val="0"/>
    <w:hidden w:val="0"/>
    <w:qFormat w:val="0"/>
    <w:rPr>
      <w:rFonts w:ascii="Arial" w:cs="Times New Roman" w:eastAsia="Calibri" w:hAnsi="Arial"/>
      <w:b w:val="1"/>
      <w:w w:val="100"/>
      <w:position w:val="-1"/>
      <w:sz w:val="20"/>
      <w:szCs w:val="24"/>
      <w:effect w:val="none"/>
      <w:vertAlign w:val="baseline"/>
      <w:cs w:val="0"/>
      <w:em w:val="none"/>
      <w:lang w:eastAsia="pt-BR"/>
    </w:rPr>
  </w:style>
  <w:style w:type="numbering" w:styleId="Semlista1">
    <w:name w:val="Sem lista1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Númerodepágina">
    <w:name w:val="Número de página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P30">
    <w:name w:val="P30"/>
    <w:basedOn w:val="Normal"/>
    <w:next w:val="P30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imes New Roman" w:eastAsia="Calibri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5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_A251075">
    <w:name w:val="_A251075"/>
    <w:basedOn w:val="Normal"/>
    <w:next w:val="_A251075"/>
    <w:autoRedefine w:val="0"/>
    <w:hidden w:val="0"/>
    <w:qFormat w:val="0"/>
    <w:pPr>
      <w:suppressAutoHyphens w:val="1"/>
      <w:spacing w:line="1" w:lineRule="atLeast"/>
      <w:ind w:left="1296" w:leftChars="-1" w:rightChars="0" w:firstLine="3456" w:firstLineChars="-1"/>
      <w:jc w:val="both"/>
      <w:textDirection w:val="btLr"/>
      <w:textAlignment w:val="top"/>
      <w:outlineLvl w:val="0"/>
    </w:pPr>
    <w:rPr>
      <w:rFonts w:ascii="Tms Rmn" w:cs="Times New Roman" w:eastAsia="Times New Roman" w:hAnsi="Tms Rmn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Angsana New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apple-tab-span">
    <w:name w:val="apple-tab-span"/>
    <w:basedOn w:val="Fonteparág.padrão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Calibri" w:cs="Times New Roman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styleId="Título8Char">
    <w:name w:val="Título 8 Char"/>
    <w:next w:val="Título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1"/>
    <w:pPr>
      <w:suppressAutoHyphens w:val="1"/>
      <w:spacing w:after="120" w:line="1" w:lineRule="atLeast"/>
      <w:ind w:left="283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Corpodetexto2">
    <w:name w:val="Corpo de texto 2"/>
    <w:basedOn w:val="Normal"/>
    <w:next w:val="Corpodetexto2"/>
    <w:autoRedefine w:val="0"/>
    <w:hidden w:val="0"/>
    <w:qFormat w:val="1"/>
    <w:pPr>
      <w:suppressAutoHyphens w:val="1"/>
      <w:spacing w:after="120"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1"/>
    <w:pPr>
      <w:suppressAutoHyphens w:val="1"/>
      <w:spacing w:after="120" w:line="480" w:lineRule="auto"/>
      <w:ind w:left="283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Abrirparágrafonegativo">
    <w:name w:val="Abrir parágrafo negativo"/>
    <w:basedOn w:val="Normal"/>
    <w:next w:val="Abrirparágrafonegativo"/>
    <w:autoRedefine w:val="0"/>
    <w:hidden w:val="0"/>
    <w:qFormat w:val="0"/>
    <w:pPr>
      <w:widowControl w:val="0"/>
      <w:suppressAutoHyphens w:val="0"/>
      <w:overflowPunct w:val="0"/>
      <w:autoSpaceDE w:val="0"/>
      <w:spacing w:line="1" w:lineRule="atLeast"/>
      <w:ind w:right="4" w:leftChars="-1" w:rightChars="0" w:firstLine="567" w:firstLineChars="-1"/>
      <w:jc w:val="both"/>
      <w:textDirection w:val="btLr"/>
      <w:textAlignment w:val="top"/>
      <w:outlineLvl w:val="0"/>
    </w:pPr>
    <w:rPr>
      <w:rFonts w:ascii="Thorndale AMT" w:cs="Times New Roman" w:eastAsia="Lucida Sans Unicode" w:hAnsi="Thorndale AMT"/>
      <w:color w:val="ff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1">
    <w:name w:val="Recuo de corpo de texto1"/>
    <w:basedOn w:val="Normal"/>
    <w:next w:val="Recuodecorpodetexto1"/>
    <w:autoRedefine w:val="0"/>
    <w:hidden w:val="0"/>
    <w:qFormat w:val="0"/>
    <w:pPr>
      <w:suppressAutoHyphens w:val="1"/>
      <w:autoSpaceDE w:val="0"/>
      <w:autoSpaceDN w:val="0"/>
      <w:spacing w:after="120" w:line="1" w:lineRule="atLeast"/>
      <w:ind w:left="283"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p10">
    <w:name w:val="p10"/>
    <w:basedOn w:val="Normal"/>
    <w:next w:val="p10"/>
    <w:autoRedefine w:val="0"/>
    <w:hidden w:val="0"/>
    <w:qFormat w:val="0"/>
    <w:pPr>
      <w:widowControl w:val="0"/>
      <w:tabs>
        <w:tab w:val="left" w:leader="none" w:pos="1980"/>
        <w:tab w:val="left" w:leader="none" w:pos="2220"/>
      </w:tabs>
      <w:suppressAutoHyphens w:val="1"/>
      <w:spacing w:line="300" w:lineRule="auto"/>
      <w:ind w:left="1440" w:leftChars="-1" w:rightChars="0" w:firstLine="2016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ParágrafodaListaChar">
    <w:name w:val="Parágrafo da Lista Char"/>
    <w:next w:val="ParágrafodaLista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/PvkCTRdgF9B1klHn2oTppFsog==">CgMxLjA4AHIhMWRZdlZKTTBUcTFYWUZfbnJMRGN6bl8wc09zeUVwVkh4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2021-11-17T14:17:00Z</dcterms:created>
  <dc:creator>Gracieli</dc:creator>
</cp:coreProperties>
</file>